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22412" w14:textId="77777777" w:rsidR="0073505D" w:rsidRDefault="00B7069C">
      <w:pPr>
        <w:spacing w:after="200" w:line="276" w:lineRule="auto"/>
      </w:pPr>
      <w:r>
        <w:t>September 9, 2026</w:t>
      </w:r>
    </w:p>
    <w:p w14:paraId="151EBFED" w14:textId="77777777" w:rsidR="0073505D" w:rsidRDefault="00B7069C">
      <w:pPr>
        <w:spacing w:after="200" w:line="276" w:lineRule="auto"/>
      </w:pPr>
      <w:r>
        <w:t>City Planning Commission</w:t>
      </w:r>
      <w:r>
        <w:br/>
        <w:t>c/o Calendar Information Office</w:t>
      </w:r>
      <w:r>
        <w:br/>
        <w:t>120 Broadway, 31st Floor</w:t>
      </w:r>
      <w:r>
        <w:br/>
        <w:t>New York, NY 10271</w:t>
      </w:r>
      <w:r>
        <w:br/>
        <w:t>Via planningrules@planning.nyc.gov and rules.cityofnewyork.us</w:t>
      </w:r>
    </w:p>
    <w:p w14:paraId="57B5A476" w14:textId="77777777" w:rsidR="0073505D" w:rsidRDefault="00B7069C">
      <w:pPr>
        <w:spacing w:after="200" w:line="276" w:lineRule="auto"/>
      </w:pPr>
      <w:r>
        <w:rPr>
          <w:b/>
          <w:bCs/>
        </w:rPr>
        <w:t>Re:</w:t>
      </w:r>
      <w:r>
        <w:rPr>
          <w:b/>
          <w:bCs/>
        </w:rPr>
        <w:tab/>
        <w:t>Comments on Proposed Rules — Expedited Land Use Review Procedure and Affordable Housing Appeals Board (proposed 62 RCNY Chapters 14 and 15); Public Hearing September 9, 2026</w:t>
      </w:r>
    </w:p>
    <w:p w14:paraId="6E733A00" w14:textId="77777777" w:rsidR="0073505D" w:rsidRDefault="00B7069C">
      <w:pPr>
        <w:spacing w:after="200" w:line="276" w:lineRule="auto"/>
      </w:pPr>
      <w:r>
        <w:t>Dear Chair Sherman and Members of the Commission:</w:t>
      </w:r>
    </w:p>
    <w:p w14:paraId="55850ADC" w14:textId="77777777" w:rsidR="0073505D" w:rsidRDefault="00B7069C">
      <w:pPr>
        <w:spacing w:after="200" w:line="276" w:lineRule="auto"/>
      </w:pPr>
      <w:r>
        <w:t>I submit these comments in my individual capacity as a land use attorney with approximately twenty years of experience in New York City zoning, including eight years in City service and twelve in private practice. They are directed to proposed Chapter 15, and specifically to the eligibility standard in proposed § 15-05 and the notice and request procedure in proposed § 15-06, which together determine whether and when a Council disapproval or modification may be reviewed by the Affordable Housing Appeals Boa</w:t>
      </w:r>
      <w:r>
        <w:t>rd under Charter § 197-g.</w:t>
      </w:r>
    </w:p>
    <w:p w14:paraId="6BFE734F" w14:textId="77777777" w:rsidR="0073505D" w:rsidRDefault="00B7069C">
      <w:pPr>
        <w:spacing w:after="200" w:line="276" w:lineRule="auto"/>
      </w:pPr>
      <w:r>
        <w:t xml:space="preserve">The proposed rule is well constructed. Section 15-05 ties Board jurisdiction to applications that involve Mandatory Inclusionary Housing, a governmental applicant or co-applicant, or an Affordable Housing Building “subject to binding restrictions at the time of land use approval,” and the Statement of Basis and Purpose correctly explains that private applications relying on incentives alone, without a binding restriction, do not directly facilitate affordable housing within the meaning of the Charter. I do </w:t>
      </w:r>
      <w:r>
        <w:t>not ask the Commission to change that standard. I offer two comments intended to make it administrable and predictable in the circumstances where it will actually be applied.</w:t>
      </w:r>
    </w:p>
    <w:p w14:paraId="1B9A924A" w14:textId="77777777" w:rsidR="0073505D" w:rsidRDefault="00B7069C">
      <w:pPr>
        <w:spacing w:before="240" w:after="160"/>
      </w:pPr>
      <w:r>
        <w:rPr>
          <w:b/>
          <w:bCs/>
        </w:rPr>
        <w:t>1.</w:t>
      </w:r>
      <w:r>
        <w:rPr>
          <w:b/>
          <w:bCs/>
        </w:rPr>
        <w:tab/>
        <w:t>Section 15-05(d) should state that a restrictive declaration required as a condition of the Commission’s approval satisfies the “at the time of land use approval” requirement.</w:t>
      </w:r>
    </w:p>
    <w:p w14:paraId="13EAECA3" w14:textId="77777777" w:rsidR="0073505D" w:rsidRDefault="00B7069C">
      <w:pPr>
        <w:spacing w:after="200" w:line="276" w:lineRule="auto"/>
      </w:pPr>
      <w:r>
        <w:t xml:space="preserve">Section 15-05(d) reaches an Affordable Housing Building “subject to binding restrictions at the time of land use approval,” and § 15-01 defines an Affordable Housing Building by reference to a regulatory agreement, restrictive declaration, or similar instrument with a governmental entity. For a private applicant that commits to affordable housing outside MIH — for example, by binding itself to Universal Affordability Preference floor area — the question is what instrument can satisfy that definition at the </w:t>
      </w:r>
      <w:r>
        <w:t>land use stage, and when it must be in place.</w:t>
      </w:r>
    </w:p>
    <w:p w14:paraId="3684F531" w14:textId="7F5F052F" w:rsidR="0073505D" w:rsidRDefault="00B7069C">
      <w:pPr>
        <w:spacing w:after="200" w:line="276" w:lineRule="auto"/>
      </w:pPr>
      <w:r>
        <w:t>In practice a restrictive declaration is sometimes executed and recorded before the Commission votes, but at least as often the Commission</w:t>
      </w:r>
      <w:r>
        <w:t xml:space="preserve"> report</w:t>
      </w:r>
      <w:r w:rsidR="00302BF4">
        <w:t>s</w:t>
      </w:r>
      <w:r>
        <w:t xml:space="preserve"> approve</w:t>
      </w:r>
      <w:r>
        <w:t xml:space="preserve"> </w:t>
      </w:r>
      <w:r>
        <w:t>application</w:t>
      </w:r>
      <w:r w:rsidR="00302BF4">
        <w:t>s</w:t>
      </w:r>
      <w:r>
        <w:t xml:space="preserve"> on the condition that </w:t>
      </w:r>
      <w:r w:rsidR="00302BF4">
        <w:t>a</w:t>
      </w:r>
      <w:r>
        <w:t xml:space="preserve"> declaration be recorded before the approval is </w:t>
      </w:r>
      <w:r w:rsidR="00302BF4">
        <w:t>effective</w:t>
      </w:r>
      <w:r>
        <w:t xml:space="preserve"> or before permits issue. Both practices are long-standing and both produce a binding restriction. Under the second practice, however, </w:t>
      </w:r>
      <w:r>
        <w:lastRenderedPageBreak/>
        <w:t>the declaration is not of record on the day the Commission acts</w:t>
      </w:r>
      <w:r>
        <w:t>. An applicant in that position cannot be certain whether its building is “subject to binding restrictions at the time of land use approval” within the meaning of § 15-05(d), and the Council, when it takes up the application, will have an incentive to argue that it is not.</w:t>
      </w:r>
    </w:p>
    <w:p w14:paraId="25BF39AF" w14:textId="11962628" w:rsidR="0073505D" w:rsidRDefault="00B7069C">
      <w:pPr>
        <w:spacing w:after="200" w:line="276" w:lineRule="auto"/>
      </w:pPr>
      <w:r>
        <w:t>A related question arises from the sequence of the instruments themselves. For a project using the Universal Affordability Preference, the affordability instrument is HPD’s UAP restrictive declaration, which HPD approves only on the basis of DOB-ready plans and a DOB job number. It cannot exist at the land use</w:t>
      </w:r>
      <w:r w:rsidR="00302BF4">
        <w:t xml:space="preserve"> application</w:t>
      </w:r>
      <w:r>
        <w:t xml:space="preserve"> stage, because it cannot be prepared until the project is designed to a level of detail that a ULURP application does not require and the Commission does not review. The question, then, is whether the Department will accept a new declaration, created for this purpose at the time of land use approval and running in favor of the City, that binds the owner to provide the UAP floor area and to execute HPD’s UAP restrictive declaration when the project reaches that stage — in lieu of the HPD declaration itself </w:t>
      </w:r>
      <w:r>
        <w:t>— as the “binding restriction” that qualifies the project under § 15-05(d). Section 15-01 defines an Affordable Housing Building by reference to “a regulatory agreement, restrictive declaration, or other similar instrument” with a governmental entity, and a declaration of that kind fits the words. But because it would be a commitment to execute HPD’s instrument rather than that instrument itself, and because it would be a new instrument rather than one the Department has previously accepted, applicants cann</w:t>
      </w:r>
      <w:r>
        <w:t>ot assume the answer. If the answer is no, no private UAP project can qualify under § 15-05(d), because the instrument the rule appears to contemplate cannot be produced at the time the rule requires it.</w:t>
      </w:r>
    </w:p>
    <w:p w14:paraId="3414C318" w14:textId="77777777" w:rsidR="0073505D" w:rsidRDefault="00B7069C">
      <w:pPr>
        <w:spacing w:after="200" w:line="276" w:lineRule="auto"/>
      </w:pPr>
      <w:r>
        <w:t>The Charter does not require the narrower reading. As the Statement of Basis and Purpose notes, § 197-g(b)(2) reaches applications that directly facilitate affordable housing “including, but not limited to” those implementing MIH; an application the Commission has approved subject to a recorded affordability restriction directly facilitates affordable housing whether the recording precedes or follows the vote by a few weeks. I recommend that the Commission:</w:t>
      </w:r>
    </w:p>
    <w:p w14:paraId="1B8D455D" w14:textId="5EAC1422" w:rsidR="0073505D" w:rsidRDefault="00B7069C">
      <w:pPr>
        <w:pStyle w:val="ListParagraph"/>
        <w:numPr>
          <w:ilvl w:val="0"/>
          <w:numId w:val="2"/>
        </w:numPr>
        <w:spacing w:after="200" w:line="276" w:lineRule="auto"/>
      </w:pPr>
      <w:r>
        <w:t xml:space="preserve">Amend § 15-05(d) to read, in substance: “the development of an Affordable Housing Building subject to binding restrictions at the time of land use approval, including </w:t>
      </w:r>
      <w:r w:rsidR="000C3555">
        <w:t>conditioning</w:t>
      </w:r>
      <w:r>
        <w:t xml:space="preserve"> </w:t>
      </w:r>
      <w:r>
        <w:t>Commission</w:t>
      </w:r>
      <w:r>
        <w:t xml:space="preserve"> approval </w:t>
      </w:r>
      <w:r w:rsidR="000C3555">
        <w:t>or the issuance of any permit thereunder</w:t>
      </w:r>
      <w:r w:rsidR="000C3555">
        <w:t xml:space="preserve"> on a</w:t>
      </w:r>
      <w:r>
        <w:t xml:space="preserve"> </w:t>
      </w:r>
      <w:r>
        <w:t>t</w:t>
      </w:r>
      <w:r>
        <w:t>o</w:t>
      </w:r>
      <w:r>
        <w:t xml:space="preserve"> </w:t>
      </w:r>
      <w:r>
        <w:t>b</w:t>
      </w:r>
      <w:r>
        <w:t>e</w:t>
      </w:r>
      <w:r>
        <w:t xml:space="preserve"> </w:t>
      </w:r>
      <w:r>
        <w:t xml:space="preserve">executed and recorded </w:t>
      </w:r>
      <w:r w:rsidR="000C3555">
        <w:t>regulatory agreement</w:t>
      </w:r>
      <w:r>
        <w:t>.”</w:t>
      </w:r>
    </w:p>
    <w:p w14:paraId="15AACBDE" w14:textId="77777777" w:rsidR="0073505D" w:rsidRDefault="00B7069C">
      <w:pPr>
        <w:pStyle w:val="ListParagraph"/>
        <w:numPr>
          <w:ilvl w:val="0"/>
          <w:numId w:val="2"/>
        </w:numPr>
        <w:spacing w:after="200" w:line="276" w:lineRule="auto"/>
      </w:pPr>
      <w:r>
        <w:t>Provide, in § 15-05 or § 15-06, that where the Commission’s report identifies an application as satisfying § 15-05 and states the instrument and the condition on which that determination rests, the report is conclusive for purposes of the Department’s notice under § 15-06.</w:t>
      </w:r>
    </w:p>
    <w:p w14:paraId="545BB746" w14:textId="77777777" w:rsidR="0073505D" w:rsidRDefault="00B7069C">
      <w:pPr>
        <w:pStyle w:val="ListParagraph"/>
        <w:numPr>
          <w:ilvl w:val="0"/>
          <w:numId w:val="2"/>
        </w:numPr>
        <w:spacing w:after="200" w:line="276" w:lineRule="auto"/>
      </w:pPr>
      <w:r>
        <w:t xml:space="preserve">Amend § 15-01 to state that “Affordable Housing Building” includes a building for which a restrictive declaration in favor of the City, executed and recorded at or as a condition of the land use approval, commits the owner to provide affordable floor area </w:t>
      </w:r>
      <w:r>
        <w:lastRenderedPageBreak/>
        <w:t>under the Universal Affordability Preference or another affordable housing provision of the Zoning Resolution and to execute the HPD restrictive declaration required thereunder, notwithstanding that the HPD instrument has not been executed at the time of land use approval; and state the form of such declaration or authorize the Department to prescribe it.</w:t>
      </w:r>
    </w:p>
    <w:p w14:paraId="5D92D809" w14:textId="77777777" w:rsidR="0073505D" w:rsidRDefault="00B7069C">
      <w:pPr>
        <w:pStyle w:val="ListParagraph"/>
        <w:numPr>
          <w:ilvl w:val="0"/>
          <w:numId w:val="2"/>
        </w:numPr>
        <w:spacing w:after="200" w:line="276" w:lineRule="auto"/>
      </w:pPr>
      <w:r>
        <w:t>Specify the minimum content of a qualifying declaration — parties, the affordable floor area or unit count committed, the affordability term, the obligation to execute the HPD restrictive declaration, and the recording requirement — so that the Department is not evaluating bespoke declarations for the first time under the five-day clock in § 15-06.</w:t>
      </w:r>
    </w:p>
    <w:p w14:paraId="6576C8C7" w14:textId="77777777" w:rsidR="0073505D" w:rsidRDefault="00B7069C">
      <w:pPr>
        <w:spacing w:before="240" w:after="160"/>
      </w:pPr>
      <w:r>
        <w:rPr>
          <w:b/>
          <w:bCs/>
        </w:rPr>
        <w:t>2.</w:t>
      </w:r>
      <w:r>
        <w:rPr>
          <w:b/>
          <w:bCs/>
        </w:rPr>
        <w:tab/>
        <w:t>The phrase “involve or relate to” in § 15-05(a) and (b) should be defined, and the eligibility determination should be made and published before the Council acts, not after.</w:t>
      </w:r>
    </w:p>
    <w:p w14:paraId="19016FA2" w14:textId="77777777" w:rsidR="0073505D" w:rsidRDefault="00B7069C">
      <w:pPr>
        <w:spacing w:after="200" w:line="276" w:lineRule="auto"/>
      </w:pPr>
      <w:r>
        <w:t>Section 15-05(b) extends eligibility to applications that “involve or relate to” parcels previously made subject to MIH. The Basis and Purpose explains the policy — a follow-up action on an MIH-mapped site may facilitate affordable housing as much as the original mapping did — and I agree with it. But the rule does not say whether a subsequent action on an MIH parcel qualifies when the action itself does not touch the affordable component: a bulk special permit, a parking waiver, a City Map change, or a mod</w:t>
      </w:r>
      <w:r>
        <w:t>ification of a prior restrictive declaration on a site whose MIH obligation is already fixed. The Department will read the phrase broadly and the Council narrowly, and the first contested appeal will be litigated over it.</w:t>
      </w:r>
    </w:p>
    <w:p w14:paraId="67245E8F" w14:textId="77777777" w:rsidR="0073505D" w:rsidRDefault="00B7069C">
      <w:pPr>
        <w:spacing w:after="200" w:line="276" w:lineRule="auto"/>
      </w:pPr>
      <w:r>
        <w:t>The procedure compounds the problem. Section 15-06(a) requires the Department, “[f]ollowing an action by the City Council eligible for review by the Board,” to notify the Board members and the applicant of that action “as soon as practicable, and in no case later than one day after such action,” and § 15-06(b) allows the applicant or any two Board members to request review within five days of the Council’s action. The notice obligation is thus triggered only by an eligible action, which means the Department</w:t>
      </w:r>
      <w:r>
        <w:t xml:space="preserve"> must decide whether the action was eligible under §§ 15-04 and 15-05 before it knows whether notice is owed. Yet Chapter 15 nowhere assigns that determination to anyone or fixes when it is made. By default it falls to the Department, after the Council has voted, at the moment of maximum political pressure. And because the five-day request period in § 15-06(b) runs from the Council action rather than from the notice, an applicant whose application the Department considers ineligible receives nothing at all:</w:t>
      </w:r>
      <w:r>
        <w:t xml:space="preserve"> it is not told that the Department has so concluded, has no means under the rule to contest that conclusion, and watches the request period expire while it waits. An applicant should not learn whether it has recourse to the Board at the end of the process. It should know at the beginning — before it decides how to structure its application, what to commit to, and how to negotiate with the Council — and the Council should know, when it takes up the application, whether its disapproval will be final. I recom</w:t>
      </w:r>
      <w:r>
        <w:t>mend that the Commission:</w:t>
      </w:r>
    </w:p>
    <w:p w14:paraId="794C8370" w14:textId="77777777" w:rsidR="0073505D" w:rsidRDefault="00B7069C">
      <w:pPr>
        <w:pStyle w:val="ListParagraph"/>
        <w:numPr>
          <w:ilvl w:val="0"/>
          <w:numId w:val="3"/>
        </w:numPr>
        <w:spacing w:after="200" w:line="276" w:lineRule="auto"/>
      </w:pPr>
      <w:r>
        <w:t xml:space="preserve">Define “involve or relate to” in § 15-01 to mean any application, including a subsequent or related application, for a land use action on a zoning lot or portion thereof that is or </w:t>
      </w:r>
      <w:r>
        <w:lastRenderedPageBreak/>
        <w:t>would become subject to MIH, irrespective of whether the application itself modifies the affordable housing requirement, provided the application facilitates the development of housing on that zoning lot.</w:t>
      </w:r>
    </w:p>
    <w:p w14:paraId="075B6AAF" w14:textId="77777777" w:rsidR="0073505D" w:rsidRDefault="00B7069C">
      <w:pPr>
        <w:pStyle w:val="ListParagraph"/>
        <w:numPr>
          <w:ilvl w:val="0"/>
          <w:numId w:val="3"/>
        </w:numPr>
        <w:spacing w:after="200" w:line="276" w:lineRule="auto"/>
      </w:pPr>
      <w:r>
        <w:t xml:space="preserve">Add a provision requiring the Department to make a written determination under § 15-05 no later than certification pursuant to Charter § 197-c(c) (or, for non-ULURP applications, no later than referral), and permitting an applicant to request that determination earlier, during pre-application review, on the basis of the application as proposed. The determination should be stated in the certification and carried into the Commission’s report, updated as necessary to reflect a declaration executed or required </w:t>
      </w:r>
      <w:r>
        <w:t>as a condition of approval under Comment 1.</w:t>
      </w:r>
    </w:p>
    <w:p w14:paraId="59186CF3" w14:textId="77777777" w:rsidR="0073505D" w:rsidRDefault="00B7069C">
      <w:pPr>
        <w:pStyle w:val="ListParagraph"/>
        <w:numPr>
          <w:ilvl w:val="0"/>
          <w:numId w:val="3"/>
        </w:numPr>
        <w:spacing w:after="200" w:line="276" w:lineRule="auto"/>
      </w:pPr>
      <w:r>
        <w:t>Conform § 15-06 so that the Department’s post-Council notice identifies an action already determined to be eligible at certification, and provide that where an application was determined eligible at certification and the Council disapproves or modifies it, notice under § 15-06(a) is mandatory and the applicant’s five-day period runs from receipt of that notice.</w:t>
      </w:r>
    </w:p>
    <w:p w14:paraId="19189B05" w14:textId="77777777" w:rsidR="0073505D" w:rsidRDefault="00B7069C">
      <w:pPr>
        <w:spacing w:after="200" w:line="276" w:lineRule="auto"/>
      </w:pPr>
      <w:r>
        <w:t>The § 15-05 analysis turns on facts that are fixed by the time of certification — whether MIH is being mapped or already applies, who the applicant is, and what instrument binds the affordable housing — so making the determination then imposes no additional burden on the Department. It removes a source of dispute that would otherwise arise in every appeal, and it lets applicants and the Council alike proceed knowing the rules of the process before it starts.</w:t>
      </w:r>
    </w:p>
    <w:p w14:paraId="5FFFC224" w14:textId="77777777" w:rsidR="0073505D" w:rsidRDefault="00B7069C">
      <w:pPr>
        <w:spacing w:before="240" w:after="160"/>
      </w:pPr>
      <w:r>
        <w:rPr>
          <w:b/>
          <w:bCs/>
        </w:rPr>
        <w:t>Conclusion</w:t>
      </w:r>
    </w:p>
    <w:p w14:paraId="71C7C92D" w14:textId="77777777" w:rsidR="0073505D" w:rsidRDefault="00B7069C">
      <w:pPr>
        <w:spacing w:after="200" w:line="276" w:lineRule="auto"/>
      </w:pPr>
      <w:r>
        <w:t>Chapter 15 will determine whether the Affordable Housing Appeals Board operates as a predictable safeguard or as a case-by-case contest over jurisdiction. Confirming that a purpose-built declaration executed at or as a condition of approval satisfies § 15-05(d), and requiring the eligibility determination to be made no later than certification and stated in the Commission’s report, would go a long way toward the former. I would welcome the opportunity to discuss these comments with Department staff.</w:t>
      </w:r>
    </w:p>
    <w:p w14:paraId="187DA4FB" w14:textId="77777777" w:rsidR="0073505D" w:rsidRDefault="00B7069C">
      <w:pPr>
        <w:spacing w:after="200" w:line="276" w:lineRule="auto"/>
      </w:pPr>
      <w:r>
        <w:t>Respectfully submitted,</w:t>
      </w:r>
    </w:p>
    <w:p w14:paraId="272EFEBC" w14:textId="4CCC5FBE" w:rsidR="0073505D" w:rsidRDefault="00B7069C">
      <w:pPr>
        <w:spacing w:after="200" w:line="276" w:lineRule="auto"/>
      </w:pPr>
      <w:r>
        <w:t>Barak Wrobel</w:t>
      </w:r>
      <w:r>
        <w:br/>
      </w:r>
      <w:r w:rsidR="00020CCF">
        <w:t>bwrobel18@gmail.com</w:t>
      </w:r>
    </w:p>
    <w:sectPr w:rsidR="0073505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ABC00" w14:textId="77777777" w:rsidR="00B7069C" w:rsidRDefault="00B7069C" w:rsidP="00020CCF">
      <w:r>
        <w:separator/>
      </w:r>
    </w:p>
  </w:endnote>
  <w:endnote w:type="continuationSeparator" w:id="0">
    <w:p w14:paraId="4EEB8F78" w14:textId="77777777" w:rsidR="00B7069C" w:rsidRDefault="00B7069C" w:rsidP="00020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6C36" w14:textId="77777777" w:rsidR="00020CCF" w:rsidRDefault="00020C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42959" w14:textId="77777777" w:rsidR="00020CCF" w:rsidRDefault="00020C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6D349" w14:textId="77777777" w:rsidR="00020CCF" w:rsidRDefault="00020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3F234" w14:textId="77777777" w:rsidR="00B7069C" w:rsidRDefault="00B7069C" w:rsidP="00020CCF">
      <w:r>
        <w:separator/>
      </w:r>
    </w:p>
  </w:footnote>
  <w:footnote w:type="continuationSeparator" w:id="0">
    <w:p w14:paraId="5BCC02D0" w14:textId="77777777" w:rsidR="00B7069C" w:rsidRDefault="00B7069C" w:rsidP="00020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649F6" w14:textId="77777777" w:rsidR="00020CCF" w:rsidRDefault="00020C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7D57" w14:textId="77777777" w:rsidR="00020CCF" w:rsidRDefault="00020C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D564B" w14:textId="77777777" w:rsidR="00020CCF" w:rsidRDefault="00020C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50DC1"/>
    <w:multiLevelType w:val="hybridMultilevel"/>
    <w:tmpl w:val="BE403F82"/>
    <w:lvl w:ilvl="0" w:tplc="B6266978">
      <w:start w:val="1"/>
      <w:numFmt w:val="lowerLetter"/>
      <w:lvlText w:val="(%1)"/>
      <w:lvlJc w:val="left"/>
      <w:pPr>
        <w:ind w:left="720" w:hanging="360"/>
      </w:pPr>
    </w:lvl>
    <w:lvl w:ilvl="1" w:tplc="9340843C">
      <w:numFmt w:val="decimal"/>
      <w:lvlText w:val=""/>
      <w:lvlJc w:val="left"/>
    </w:lvl>
    <w:lvl w:ilvl="2" w:tplc="57EEBD2A">
      <w:numFmt w:val="decimal"/>
      <w:lvlText w:val=""/>
      <w:lvlJc w:val="left"/>
    </w:lvl>
    <w:lvl w:ilvl="3" w:tplc="9AF6670E">
      <w:numFmt w:val="decimal"/>
      <w:lvlText w:val=""/>
      <w:lvlJc w:val="left"/>
    </w:lvl>
    <w:lvl w:ilvl="4" w:tplc="12300C72">
      <w:numFmt w:val="decimal"/>
      <w:lvlText w:val=""/>
      <w:lvlJc w:val="left"/>
    </w:lvl>
    <w:lvl w:ilvl="5" w:tplc="D918F3F4">
      <w:numFmt w:val="decimal"/>
      <w:lvlText w:val=""/>
      <w:lvlJc w:val="left"/>
    </w:lvl>
    <w:lvl w:ilvl="6" w:tplc="8BDAA2D8">
      <w:numFmt w:val="decimal"/>
      <w:lvlText w:val=""/>
      <w:lvlJc w:val="left"/>
    </w:lvl>
    <w:lvl w:ilvl="7" w:tplc="E9483134">
      <w:numFmt w:val="decimal"/>
      <w:lvlText w:val=""/>
      <w:lvlJc w:val="left"/>
    </w:lvl>
    <w:lvl w:ilvl="8" w:tplc="119A7DCE">
      <w:numFmt w:val="decimal"/>
      <w:lvlText w:val=""/>
      <w:lvlJc w:val="left"/>
    </w:lvl>
  </w:abstractNum>
  <w:abstractNum w:abstractNumId="1" w15:restartNumberingAfterBreak="0">
    <w:nsid w:val="54533DF9"/>
    <w:multiLevelType w:val="hybridMultilevel"/>
    <w:tmpl w:val="99107410"/>
    <w:lvl w:ilvl="0" w:tplc="1668F8DC">
      <w:start w:val="1"/>
      <w:numFmt w:val="lowerLetter"/>
      <w:lvlText w:val="(%1)"/>
      <w:lvlJc w:val="left"/>
      <w:pPr>
        <w:ind w:left="720" w:hanging="360"/>
      </w:pPr>
    </w:lvl>
    <w:lvl w:ilvl="1" w:tplc="977CF282">
      <w:numFmt w:val="decimal"/>
      <w:lvlText w:val=""/>
      <w:lvlJc w:val="left"/>
    </w:lvl>
    <w:lvl w:ilvl="2" w:tplc="1D2475D6">
      <w:numFmt w:val="decimal"/>
      <w:lvlText w:val=""/>
      <w:lvlJc w:val="left"/>
    </w:lvl>
    <w:lvl w:ilvl="3" w:tplc="F02C7AC0">
      <w:numFmt w:val="decimal"/>
      <w:lvlText w:val=""/>
      <w:lvlJc w:val="left"/>
    </w:lvl>
    <w:lvl w:ilvl="4" w:tplc="89261252">
      <w:numFmt w:val="decimal"/>
      <w:lvlText w:val=""/>
      <w:lvlJc w:val="left"/>
    </w:lvl>
    <w:lvl w:ilvl="5" w:tplc="1F242082">
      <w:numFmt w:val="decimal"/>
      <w:lvlText w:val=""/>
      <w:lvlJc w:val="left"/>
    </w:lvl>
    <w:lvl w:ilvl="6" w:tplc="710C4EAE">
      <w:numFmt w:val="decimal"/>
      <w:lvlText w:val=""/>
      <w:lvlJc w:val="left"/>
    </w:lvl>
    <w:lvl w:ilvl="7" w:tplc="BDF87FA6">
      <w:numFmt w:val="decimal"/>
      <w:lvlText w:val=""/>
      <w:lvlJc w:val="left"/>
    </w:lvl>
    <w:lvl w:ilvl="8" w:tplc="6AB2B83A">
      <w:numFmt w:val="decimal"/>
      <w:lvlText w:val=""/>
      <w:lvlJc w:val="left"/>
    </w:lvl>
  </w:abstractNum>
  <w:abstractNum w:abstractNumId="2" w15:restartNumberingAfterBreak="0">
    <w:nsid w:val="5EFC42E4"/>
    <w:multiLevelType w:val="hybridMultilevel"/>
    <w:tmpl w:val="E44E42E2"/>
    <w:lvl w:ilvl="0" w:tplc="59AA5414">
      <w:start w:val="1"/>
      <w:numFmt w:val="bullet"/>
      <w:lvlText w:val="●"/>
      <w:lvlJc w:val="left"/>
      <w:pPr>
        <w:ind w:left="720" w:hanging="360"/>
      </w:pPr>
    </w:lvl>
    <w:lvl w:ilvl="1" w:tplc="01A201D2">
      <w:start w:val="1"/>
      <w:numFmt w:val="bullet"/>
      <w:lvlText w:val="○"/>
      <w:lvlJc w:val="left"/>
      <w:pPr>
        <w:ind w:left="1440" w:hanging="360"/>
      </w:pPr>
    </w:lvl>
    <w:lvl w:ilvl="2" w:tplc="3276508C">
      <w:start w:val="1"/>
      <w:numFmt w:val="bullet"/>
      <w:lvlText w:val="■"/>
      <w:lvlJc w:val="left"/>
      <w:pPr>
        <w:ind w:left="2160" w:hanging="360"/>
      </w:pPr>
    </w:lvl>
    <w:lvl w:ilvl="3" w:tplc="65C80FE6">
      <w:start w:val="1"/>
      <w:numFmt w:val="bullet"/>
      <w:lvlText w:val="●"/>
      <w:lvlJc w:val="left"/>
      <w:pPr>
        <w:ind w:left="2880" w:hanging="360"/>
      </w:pPr>
    </w:lvl>
    <w:lvl w:ilvl="4" w:tplc="2870CD24">
      <w:start w:val="1"/>
      <w:numFmt w:val="bullet"/>
      <w:lvlText w:val="○"/>
      <w:lvlJc w:val="left"/>
      <w:pPr>
        <w:ind w:left="3600" w:hanging="360"/>
      </w:pPr>
    </w:lvl>
    <w:lvl w:ilvl="5" w:tplc="7DC44820">
      <w:start w:val="1"/>
      <w:numFmt w:val="bullet"/>
      <w:lvlText w:val="■"/>
      <w:lvlJc w:val="left"/>
      <w:pPr>
        <w:ind w:left="4320" w:hanging="360"/>
      </w:pPr>
    </w:lvl>
    <w:lvl w:ilvl="6" w:tplc="6814692E">
      <w:start w:val="1"/>
      <w:numFmt w:val="bullet"/>
      <w:lvlText w:val="●"/>
      <w:lvlJc w:val="left"/>
      <w:pPr>
        <w:ind w:left="5040" w:hanging="360"/>
      </w:pPr>
    </w:lvl>
    <w:lvl w:ilvl="7" w:tplc="A126DCCA">
      <w:start w:val="1"/>
      <w:numFmt w:val="bullet"/>
      <w:lvlText w:val="●"/>
      <w:lvlJc w:val="left"/>
      <w:pPr>
        <w:ind w:left="5760" w:hanging="360"/>
      </w:pPr>
    </w:lvl>
    <w:lvl w:ilvl="8" w:tplc="ECFC428A">
      <w:start w:val="1"/>
      <w:numFmt w:val="bullet"/>
      <w:lvlText w:val="●"/>
      <w:lvlJc w:val="left"/>
      <w:pPr>
        <w:ind w:left="6480" w:hanging="360"/>
      </w:pPr>
    </w:lvl>
  </w:abstractNum>
  <w:num w:numId="1" w16cid:durableId="1859273899">
    <w:abstractNumId w:val="2"/>
    <w:lvlOverride w:ilvl="0">
      <w:startOverride w:val="1"/>
    </w:lvlOverride>
  </w:num>
  <w:num w:numId="2" w16cid:durableId="2023044618">
    <w:abstractNumId w:val="1"/>
    <w:lvlOverride w:ilvl="0">
      <w:startOverride w:val="1"/>
    </w:lvlOverride>
  </w:num>
  <w:num w:numId="3" w16cid:durableId="19821541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05D"/>
    <w:rsid w:val="00020CCF"/>
    <w:rsid w:val="000C3555"/>
    <w:rsid w:val="000F408B"/>
    <w:rsid w:val="00302BF4"/>
    <w:rsid w:val="0073505D"/>
    <w:rsid w:val="00B7069C"/>
    <w:rsid w:val="00E61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1C015"/>
  <w15:docId w15:val="{C95CE7D4-05A1-4A59-BC9B-F86C63D72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20CCF"/>
    <w:pPr>
      <w:tabs>
        <w:tab w:val="center" w:pos="4680"/>
        <w:tab w:val="right" w:pos="9360"/>
      </w:tabs>
    </w:pPr>
  </w:style>
  <w:style w:type="character" w:customStyle="1" w:styleId="HeaderChar">
    <w:name w:val="Header Char"/>
    <w:basedOn w:val="DefaultParagraphFont"/>
    <w:link w:val="Header"/>
    <w:uiPriority w:val="99"/>
    <w:rsid w:val="00020CCF"/>
  </w:style>
  <w:style w:type="paragraph" w:styleId="Footer">
    <w:name w:val="footer"/>
    <w:basedOn w:val="Normal"/>
    <w:link w:val="FooterChar"/>
    <w:uiPriority w:val="99"/>
    <w:unhideWhenUsed/>
    <w:rsid w:val="00020CCF"/>
    <w:pPr>
      <w:tabs>
        <w:tab w:val="center" w:pos="4680"/>
        <w:tab w:val="right" w:pos="9360"/>
      </w:tabs>
    </w:pPr>
  </w:style>
  <w:style w:type="character" w:customStyle="1" w:styleId="FooterChar">
    <w:name w:val="Footer Char"/>
    <w:basedOn w:val="DefaultParagraphFont"/>
    <w:link w:val="Footer"/>
    <w:uiPriority w:val="99"/>
    <w:rsid w:val="00020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1803</Words>
  <Characters>9667</Characters>
  <Application>Microsoft Office Word</Application>
  <DocSecurity>4</DocSecurity>
  <Lines>141</Lines>
  <Paragraphs>26</Paragraphs>
  <ScaleCrop>false</ScaleCrop>
  <HeadingPairs>
    <vt:vector size="2" baseType="variant">
      <vt:variant>
        <vt:lpstr>Title</vt:lpstr>
      </vt:variant>
      <vt:variant>
        <vt:i4>1</vt:i4>
      </vt:variant>
    </vt:vector>
  </HeadingPairs>
  <TitlesOfParts>
    <vt:vector size="1" baseType="lpstr">
      <vt:lpstr/>
    </vt:vector>
  </TitlesOfParts>
  <Company>HK</Company>
  <LinksUpToDate>false</LinksUpToDate>
  <CharactersWithSpaces>11457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Wrobel, Barak (NYC - X73348)</cp:lastModifiedBy>
  <cp:revision>2</cp:revision>
  <dcterms:created xsi:type="dcterms:W3CDTF">2026-09-09T21:44:00Z</dcterms:created>
  <dcterms:modified xsi:type="dcterms:W3CDTF">2026-09-09T21:44:00Z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umber">
    <vt:lpwstr>544868909</vt:lpwstr>
  </property>
  <property fmtid="{D5CDD505-2E9C-101B-9397-08002B2CF9AE}" pid="3" name="DocumentVersion">
    <vt:lpwstr>1</vt:lpwstr>
  </property>
  <property fmtid="{D5CDD505-2E9C-101B-9397-08002B2CF9AE}" pid="4" name="ClientNumber">
    <vt:lpwstr>010552</vt:lpwstr>
  </property>
  <property fmtid="{D5CDD505-2E9C-101B-9397-08002B2CF9AE}" pid="5" name="MatterNumber">
    <vt:lpwstr>11068</vt:lpwstr>
  </property>
  <property fmtid="{D5CDD505-2E9C-101B-9397-08002B2CF9AE}" pid="6" name="ClientName">
    <vt:lpwstr>Personal Purchases</vt:lpwstr>
  </property>
  <property fmtid="{D5CDD505-2E9C-101B-9397-08002B2CF9AE}" pid="7" name="MatterName">
    <vt:lpwstr>Wrobel, Barak</vt:lpwstr>
  </property>
  <property fmtid="{D5CDD505-2E9C-101B-9397-08002B2CF9AE}" pid="8" name="DatabaseName">
    <vt:lpwstr>ACTIVE</vt:lpwstr>
  </property>
  <property fmtid="{D5CDD505-2E9C-101B-9397-08002B2CF9AE}" pid="9" name="TypistName">
    <vt:lpwstr>BAWROBEL</vt:lpwstr>
  </property>
  <property fmtid="{D5CDD505-2E9C-101B-9397-08002B2CF9AE}" pid="10" name="AuthorName">
    <vt:lpwstr>BAWROBEL</vt:lpwstr>
  </property>
  <property fmtid="{D5CDD505-2E9C-101B-9397-08002B2CF9AE}" pid="11" name="InUseBy">
    <vt:lpwstr/>
  </property>
  <property fmtid="{D5CDD505-2E9C-101B-9397-08002B2CF9AE}" pid="12" name="EditDate">
    <vt:lpwstr>1/1/0001 12:00:00 AM</vt:lpwstr>
  </property>
  <property fmtid="{D5CDD505-2E9C-101B-9397-08002B2CF9AE}" pid="13" name="EditTime">
    <vt:lpwstr/>
  </property>
  <property fmtid="{D5CDD505-2E9C-101B-9397-08002B2CF9AE}" pid="14" name="IsiManageWork">
    <vt:lpwstr>True</vt:lpwstr>
  </property>
</Properties>
</file>