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90D87" w14:textId="73BB8C51" w:rsidR="00C315EE" w:rsidRPr="00C315EE" w:rsidRDefault="00C315EE" w:rsidP="00C315EE">
      <w:pPr>
        <w:rPr>
          <w:b/>
          <w:bCs/>
        </w:rPr>
      </w:pPr>
      <w:r w:rsidRPr="00C315EE">
        <w:rPr>
          <w:b/>
          <w:bCs/>
        </w:rPr>
        <w:t>Re: Comments on Proposed Rules Implementing the Pied-à-Terre Surcharge</w:t>
      </w:r>
    </w:p>
    <w:p w14:paraId="1D4E2B46" w14:textId="77777777" w:rsidR="00C315EE" w:rsidRDefault="00C315EE" w:rsidP="00C315EE"/>
    <w:p w14:paraId="7DA5DF25" w14:textId="61F8B53F" w:rsidR="00C315EE" w:rsidRDefault="00C315EE" w:rsidP="00C315EE">
      <w:r>
        <w:t>We respectfully submit the following comments on the pied-à-terre surcharge.</w:t>
      </w:r>
    </w:p>
    <w:p w14:paraId="5F6E7E4F" w14:textId="77777777" w:rsidR="00C315EE" w:rsidRDefault="00C315EE" w:rsidP="00C315EE">
      <w:r>
        <w:t>We recommend that DOF establish a streamlined private letter ruling process so that subjected taxpayers may seek expedited clarity on or challenge the surcharge, supported by additional staffing and approved overtime for City attorneys and staff.</w:t>
      </w:r>
    </w:p>
    <w:p w14:paraId="2CF07DE2" w14:textId="77777777" w:rsidR="00C315EE" w:rsidRDefault="00C315EE" w:rsidP="00C315EE">
      <w:r>
        <w:t>An expedited process would provide taxpayers with timely certainty rather than allowing disputes to accumulate over time. It would also reduce downstream costs to the City, including fewer audit-stage disputes and less strain on the Law Department, and would improve the likelihood that the surcharge is implemented successfully.</w:t>
      </w:r>
    </w:p>
    <w:p w14:paraId="211A1122" w14:textId="77777777" w:rsidR="00C315EE" w:rsidRDefault="00C315EE" w:rsidP="00C315EE">
      <w:r>
        <w:t>Mechanisms of this kind exist in some capacity at the state, city, and federal levels. This administration has demonstrated a willingness to create mechanisms that expedite administrative matters, as evidenced by Mayor Mamdani's SPEED Task Force, and we believe the same approach is warranted here.</w:t>
      </w:r>
    </w:p>
    <w:p w14:paraId="20FF9FDD" w14:textId="7D02E925" w:rsidR="00C315EE" w:rsidRDefault="00C315EE" w:rsidP="00C315EE">
      <w:r>
        <w:t>At the federal level, the IRS permits expedited handling of letter rulings upon a showing of compelling need (Rev. Proc. 2026-1, § 7.02(4)). Following the Tax Cuts and Jobs Act, the IRS also issued rapid safe-harbor guidance rather than relying solely on case-by-case rulings, an approach DOF may wish to consider alongside the expedited track proposed above.</w:t>
      </w:r>
    </w:p>
    <w:p w14:paraId="73B73C08" w14:textId="5786E808" w:rsidR="00C315EE" w:rsidRDefault="00C315EE" w:rsidP="00C315EE"/>
    <w:p w14:paraId="6D804EC0" w14:textId="6E59FF67" w:rsidR="00C315EE" w:rsidRDefault="00C315EE" w:rsidP="00C315EE"/>
    <w:p w14:paraId="6A88D3D5" w14:textId="389894FB" w:rsidR="00C315EE" w:rsidRDefault="00C315EE" w:rsidP="00C315EE">
      <w:r>
        <w:t>Jarrett Kalish, Esq</w:t>
      </w:r>
    </w:p>
    <w:p w14:paraId="50982D29" w14:textId="72BB7760" w:rsidR="00C315EE" w:rsidRDefault="00C315EE" w:rsidP="00C315EE">
      <w:r>
        <w:t>Managing Member</w:t>
      </w:r>
    </w:p>
    <w:p w14:paraId="1CDF95FD" w14:textId="4889C4FB" w:rsidR="00C315EE" w:rsidRDefault="00C315EE" w:rsidP="00C315EE"/>
    <w:p w14:paraId="6856A241" w14:textId="79EE6215" w:rsidR="00C315EE" w:rsidRDefault="00C315EE" w:rsidP="00C315EE">
      <w:r>
        <w:t>Nicholas R. Combs</w:t>
      </w:r>
      <w:r w:rsidR="005129DA">
        <w:t>, Esq</w:t>
      </w:r>
    </w:p>
    <w:p w14:paraId="01BEE9CC" w14:textId="04189FAA" w:rsidR="00C315EE" w:rsidRDefault="00C315EE" w:rsidP="00C315EE">
      <w:r>
        <w:t>Of Counsel</w:t>
      </w:r>
    </w:p>
    <w:sectPr w:rsidR="00C31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EE"/>
    <w:rsid w:val="005129DA"/>
    <w:rsid w:val="00C315EE"/>
    <w:rsid w:val="00D8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A6E2F"/>
  <w15:chartTrackingRefBased/>
  <w15:docId w15:val="{56AF6706-B6BF-406B-9029-68ADAA23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Combs</dc:creator>
  <cp:keywords/>
  <dc:description/>
  <cp:lastModifiedBy>Nicholas Combs</cp:lastModifiedBy>
  <cp:revision>3</cp:revision>
  <dcterms:created xsi:type="dcterms:W3CDTF">2026-07-09T01:49:00Z</dcterms:created>
  <dcterms:modified xsi:type="dcterms:W3CDTF">2026-07-09T02:01:00Z</dcterms:modified>
</cp:coreProperties>
</file>